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4D" w:rsidRDefault="006D064D" w:rsidP="006D0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ВЫЗНАЧЭННЕ РОДУ АБРЭВІЯТУР</w:t>
      </w:r>
    </w:p>
    <w:p w:rsidR="006D064D" w:rsidRPr="006D064D" w:rsidRDefault="006D064D" w:rsidP="006D0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</w:p>
    <w:p w:rsidR="006D064D" w:rsidRPr="00280F64" w:rsidRDefault="006D064D" w:rsidP="006D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>Граматычны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род абрэвіятур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вызначаецца па структуры скарачэння або па сэнсе, г.зн. па апорным слове словазлучэння. </w:t>
      </w:r>
    </w:p>
    <w:p w:rsidR="006D064D" w:rsidRPr="00280F64" w:rsidRDefault="006D064D" w:rsidP="006D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У тых словах, якія скланяюцца як звычайныя назоўнікі, род вызначаецца па фармальнай прыкмеце, г.зн. словы на зычны адносяцца да мужчынскага роду: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сацстрах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(сацыяльнае страхаванне),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Мінюст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(Міністэрства юстыцыі),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лясгас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(лясная гаспадарка),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рыбгас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(рыбная гаспадарка). </w:t>
      </w:r>
    </w:p>
    <w:p w:rsidR="006D064D" w:rsidRPr="00280F64" w:rsidRDefault="006D064D" w:rsidP="006D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Словы, што заканчваюцца на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-о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(не пад націскам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-а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), належаць да ніякага роду: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сельпо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Галоўэнерга.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Гэтаму ж правілу падпарадкоўваюцца і ініцыяльныя абрэвіятуры, якія часта ўжываюцца ў мове: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ЦУМ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ГУМ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ВАК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(вышэйшая атэстацыйная камісія). </w:t>
      </w:r>
    </w:p>
    <w:p w:rsidR="006D064D" w:rsidRPr="00280F64" w:rsidRDefault="006D064D" w:rsidP="006D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Род ініцыяльных абрэвіятур, якія пішуцца вялікімі літарамі, часцей за ўсё вызначаецца па родзе апорнага кампанента словазлучэння: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БДПУ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(м. 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МТЗ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(м.р.),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АТС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(ж.р.) – аўтаматычная тэлефонная станцыя,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ТБМ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(н.р.) – таварыства беларускай мовы.</w:t>
      </w:r>
    </w:p>
    <w:p w:rsidR="006D064D" w:rsidRPr="00280F64" w:rsidRDefault="006D064D" w:rsidP="006D0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У беларускай мове ёсць назоўнікі, якія ўтварыліся шляхам складання дзвюх і больш лексічных адзінак: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вагон-рэстаран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школа-інтэрнат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плашч-палатка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і інш. Такія назоўнікі выступаюць як адно цэлае і павінны адносіцца да аднаго з трох родаў. Калі кампаненты такіх назоўнікаў маюць адзін і той жа род, то і складаны назоўнік адносіцца да гэтага ж роду: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вагон-рэстаран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(м.р.),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хата-чытальня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(ж.р.). Цяжкасці ўзнікаюць, калі складаны назоўнік мае разнародавыя кампаненты. Для вызначэння роду такіх назоўнікаў трэба кіравацца наступным:</w:t>
      </w:r>
    </w:p>
    <w:p w:rsidR="006D064D" w:rsidRPr="00280F64" w:rsidRDefault="006D064D" w:rsidP="006D06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у складаных назоўнікаў, што абазначаюць неадушаўлёныя прадметы, вядучым часцей за ўсё з’яўляецца першы кампанент. Ён нясе асноўную сэнсавую нагрузку, а другі кампанент выступае як прыдатак: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аўтамабіль-радыёстанцыя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(м.р.),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канапа-ложак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(ж.р.),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сіта-цадзілка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(н.р.). Адзначаюцца сітуацыі, калі цяжка вызначыць вядучы кампанент, таксама ёсць складаныя назоўнікі, у якіх кампаненты можна памяняць месцамі. У такіх выпадках род вызначаецца па першым кампаненце: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культыватар-сеялка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(м.р.),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сеялка-культыватар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(ж. р.);</w:t>
      </w:r>
    </w:p>
    <w:p w:rsidR="006D064D" w:rsidRPr="00280F64" w:rsidRDefault="006D064D" w:rsidP="006D06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у складаных назоўнікаў, якія абазначаюць асобу па прафесіі, званні, сацыяльным паходжанні і інш., род вызначаецца па назоўніку, што ўказвае на прыналежнасць асобы да пэўнага полу: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жанчына-ўрач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(ж.р.),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чалавек-загадка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(м.р.);</w:t>
      </w:r>
    </w:p>
    <w:p w:rsidR="006D064D" w:rsidRPr="00280F64" w:rsidRDefault="006D064D" w:rsidP="006D06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у складаных назоўнікаў, што называюць жывых істот, род вызначаецца па першым кампаненце: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акула-молат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(ж.р.). Выключэнне словы тыпу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меч-рыба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вожык-рыба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дзе галоўным з’яўляецца родавае слова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рыба.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Таму такія назоўнікі адносяцца да жаночага роду;</w:t>
      </w:r>
    </w:p>
    <w:p w:rsidR="006D064D" w:rsidRPr="00280F64" w:rsidRDefault="006D064D" w:rsidP="006D06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у складаных назоўнікаў, якія абазначаюць неадушаўлёныя прадметы і ў якіх скланяецца толькі адна частка, род вызначаецца па зменным кампаненце: 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штаб-кватэра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штаб-кватэры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штаб-кватэрай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(ж.р.) ;</w:t>
      </w:r>
    </w:p>
    <w:p w:rsidR="00F47AD0" w:rsidRPr="006D064D" w:rsidRDefault="006D064D" w:rsidP="006D064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37C74">
        <w:rPr>
          <w:rFonts w:ascii="Times New Roman" w:hAnsi="Times New Roman" w:cs="Times New Roman"/>
          <w:sz w:val="28"/>
          <w:szCs w:val="28"/>
          <w:lang w:val="be-BY"/>
        </w:rPr>
        <w:t xml:space="preserve">у складаных назоўнікаў, дзе адзін з кампанентаў – множналікавы назоўнік і абодва кампаненты скланяюцца, дапасаванне по родзе і ліку адбываецца па першым кампаненце: </w:t>
      </w:r>
      <w:r w:rsidRPr="00137C74">
        <w:rPr>
          <w:rFonts w:ascii="Times New Roman" w:hAnsi="Times New Roman" w:cs="Times New Roman"/>
          <w:i/>
          <w:sz w:val="28"/>
          <w:szCs w:val="28"/>
          <w:lang w:val="be-BY"/>
        </w:rPr>
        <w:t>конная валакуша-граблі, новыя нажніцы-кустарэз, зручныя бігудзі-шпількі.</w:t>
      </w:r>
    </w:p>
    <w:sectPr w:rsidR="00F47AD0" w:rsidRPr="006D064D" w:rsidSect="006D0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60839"/>
    <w:multiLevelType w:val="multilevel"/>
    <w:tmpl w:val="D6FA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4D"/>
    <w:rsid w:val="004346D5"/>
    <w:rsid w:val="004F0BA7"/>
    <w:rsid w:val="005E2D72"/>
    <w:rsid w:val="006D064D"/>
    <w:rsid w:val="00893236"/>
    <w:rsid w:val="008E3D41"/>
    <w:rsid w:val="00B06634"/>
    <w:rsid w:val="00BE6B77"/>
    <w:rsid w:val="00C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EB1E-EB3F-4524-B87A-5C1A54C7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4D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Наталья Радивановская</cp:lastModifiedBy>
  <cp:revision>1</cp:revision>
  <dcterms:created xsi:type="dcterms:W3CDTF">2017-10-02T15:43:00Z</dcterms:created>
  <dcterms:modified xsi:type="dcterms:W3CDTF">2017-10-02T15:44:00Z</dcterms:modified>
</cp:coreProperties>
</file>