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9FD" w:rsidRPr="000C799D" w:rsidRDefault="004559FD" w:rsidP="004559FD">
      <w:pPr>
        <w:shd w:val="clear" w:color="auto" w:fill="FFFFFF"/>
        <w:spacing w:after="15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A1A18"/>
          <w:kern w:val="36"/>
          <w:sz w:val="28"/>
          <w:szCs w:val="28"/>
        </w:rPr>
      </w:pPr>
      <w:r w:rsidRPr="000C799D">
        <w:rPr>
          <w:rFonts w:ascii="Times New Roman" w:eastAsia="Times New Roman" w:hAnsi="Times New Roman" w:cs="Times New Roman"/>
          <w:b/>
          <w:bCs/>
          <w:color w:val="1A1A18"/>
          <w:kern w:val="36"/>
          <w:sz w:val="28"/>
          <w:szCs w:val="28"/>
        </w:rPr>
        <w:t>Бюджет-2018: прогнозы и реальность</w:t>
      </w:r>
    </w:p>
    <w:p w:rsidR="004559FD" w:rsidRPr="000C799D" w:rsidRDefault="004559FD" w:rsidP="004559F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</w:p>
    <w:p w:rsidR="00946179" w:rsidRDefault="00946179" w:rsidP="009461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E7C">
        <w:rPr>
          <w:rFonts w:ascii="Times New Roman" w:hAnsi="Times New Roman" w:cs="Times New Roman"/>
          <w:sz w:val="28"/>
          <w:szCs w:val="28"/>
        </w:rPr>
        <w:t xml:space="preserve">Статья 1. Утвердить республиканский бюджет на 2018 год по расходам в сумме 19 751 495 082 рублей исходя из прогнозируемого объема доходов в сумме 20 485 376 244 рублей. </w:t>
      </w:r>
    </w:p>
    <w:p w:rsidR="00946179" w:rsidRPr="00C05E7C" w:rsidRDefault="00946179" w:rsidP="0094617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5E7C">
        <w:rPr>
          <w:rFonts w:ascii="Times New Roman" w:hAnsi="Times New Roman" w:cs="Times New Roman"/>
          <w:sz w:val="28"/>
          <w:szCs w:val="28"/>
        </w:rPr>
        <w:t>Установить размер профицита республиканского бюджета на 2018 год в сумме 733 881 162 рублей и направления его использования согласно приложению 1.</w:t>
      </w:r>
    </w:p>
    <w:p w:rsidR="00946179" w:rsidRDefault="00946179" w:rsidP="009461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E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C05E7C">
        <w:rPr>
          <w:rFonts w:ascii="Times New Roman" w:hAnsi="Times New Roman" w:cs="Times New Roman"/>
          <w:sz w:val="28"/>
          <w:szCs w:val="28"/>
        </w:rPr>
        <w:t>Статья 2. Включить в 2018 году: в республиканский бюджет средства государственных целевых бюджетных фондов: фонда национального развития, республиканского централизованного инновационного фонда и республиканского дорожного фонда; в местные бюджеты средства местных инновационных фондов, образуемых областными и Минским городским исполнительными комитетами</w:t>
      </w:r>
    </w:p>
    <w:p w:rsidR="00946179" w:rsidRPr="008A2DFD" w:rsidRDefault="00946179" w:rsidP="00946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46179" w:rsidRDefault="00946179" w:rsidP="009461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5E7C">
        <w:rPr>
          <w:rFonts w:ascii="Times New Roman" w:hAnsi="Times New Roman" w:cs="Times New Roman"/>
          <w:sz w:val="28"/>
          <w:szCs w:val="28"/>
        </w:rPr>
        <w:t xml:space="preserve">Статья 10. Утвердить на 2018 год: лимит внутреннего государственного долга Республики Беларусь в размере 10 млрд. рублей;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946179" w:rsidRDefault="00946179" w:rsidP="009461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5E7C">
        <w:rPr>
          <w:rFonts w:ascii="Times New Roman" w:hAnsi="Times New Roman" w:cs="Times New Roman"/>
          <w:sz w:val="28"/>
          <w:szCs w:val="28"/>
        </w:rPr>
        <w:t xml:space="preserve">лимит внутреннего долга, гарантированного Республикой Беларусь, в размере 3,1 млрд. рублей; </w:t>
      </w:r>
    </w:p>
    <w:p w:rsidR="00946179" w:rsidRDefault="00946179" w:rsidP="009461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5E7C">
        <w:rPr>
          <w:rFonts w:ascii="Times New Roman" w:hAnsi="Times New Roman" w:cs="Times New Roman"/>
          <w:sz w:val="28"/>
          <w:szCs w:val="28"/>
        </w:rPr>
        <w:t xml:space="preserve">лимит внешнего государственного долга Республики Беларусь в размере 19,6 млрд. долларов США; </w:t>
      </w:r>
    </w:p>
    <w:p w:rsidR="00946179" w:rsidRDefault="00946179" w:rsidP="009461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5E7C">
        <w:rPr>
          <w:rFonts w:ascii="Times New Roman" w:hAnsi="Times New Roman" w:cs="Times New Roman"/>
          <w:sz w:val="28"/>
          <w:szCs w:val="28"/>
        </w:rPr>
        <w:t xml:space="preserve">лимит внешнего долга, гарантированного Республикой Беларусь, в размере 3 млрд. долларов США; </w:t>
      </w:r>
    </w:p>
    <w:p w:rsidR="00587894" w:rsidRDefault="00587894" w:rsidP="009461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7894" w:rsidRPr="00A15A3C" w:rsidRDefault="00587894" w:rsidP="00587894">
      <w:pPr>
        <w:pStyle w:val="western"/>
        <w:shd w:val="clear" w:color="auto" w:fill="FFFFFF"/>
        <w:spacing w:before="0" w:after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</w:t>
      </w:r>
      <w:r w:rsidRPr="00A15A3C">
        <w:rPr>
          <w:color w:val="333333"/>
          <w:sz w:val="28"/>
          <w:szCs w:val="28"/>
        </w:rPr>
        <w:t>еспубликанский бюджет-2018 </w:t>
      </w:r>
      <w:hyperlink r:id="rId7" w:history="1">
        <w:r w:rsidRPr="00A15A3C">
          <w:rPr>
            <w:rStyle w:val="a6"/>
            <w:color w:val="5B9EBE"/>
            <w:sz w:val="28"/>
            <w:szCs w:val="28"/>
          </w:rPr>
          <w:t>утвержден</w:t>
        </w:r>
      </w:hyperlink>
      <w:r w:rsidRPr="00A15A3C">
        <w:rPr>
          <w:color w:val="333333"/>
          <w:sz w:val="28"/>
          <w:szCs w:val="28"/>
        </w:rPr>
        <w:t> с профицитом, то есть его доходы, как планируется, превысят расходы – примерно на 734 млн рублей, или $360 млн. Для расчета мы брали курс белорусского рубля к доллару в 2017 году (1,9) и курс, запланированный на 2018 год (2,04).</w:t>
      </w:r>
    </w:p>
    <w:p w:rsidR="00587894" w:rsidRPr="00A15A3C" w:rsidRDefault="00587894" w:rsidP="00587894">
      <w:pPr>
        <w:pStyle w:val="western"/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 w:rsidRPr="00A15A3C">
        <w:rPr>
          <w:color w:val="333333"/>
          <w:sz w:val="28"/>
          <w:szCs w:val="28"/>
        </w:rPr>
        <w:t>И в рублях, и в переводе на доллары республиканский бюджет на 2018 год богаче, чем в 2017-м. Но если сравнивать его, например, с бюджетом 2013 года, то наполняемость республиканской казны в долларовом эквиваленте меньше на 26%.</w:t>
      </w:r>
    </w:p>
    <w:p w:rsidR="00587894" w:rsidRPr="00587894" w:rsidRDefault="00587894" w:rsidP="00587894">
      <w:pPr>
        <w:pStyle w:val="2"/>
        <w:shd w:val="clear" w:color="auto" w:fill="FFFFFF"/>
        <w:ind w:firstLine="360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587894">
        <w:rPr>
          <w:rFonts w:ascii="Times New Roman" w:hAnsi="Times New Roman" w:cs="Times New Roman"/>
          <w:b/>
          <w:color w:val="333333"/>
          <w:sz w:val="28"/>
          <w:szCs w:val="28"/>
        </w:rPr>
        <w:t>Доходы республиканского бюджета в долларовом эквиваленте</w:t>
      </w:r>
    </w:p>
    <w:p w:rsidR="00587894" w:rsidRPr="00A15A3C" w:rsidRDefault="00587894" w:rsidP="005878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15A3C">
        <w:rPr>
          <w:rFonts w:ascii="Times New Roman" w:hAnsi="Times New Roman" w:cs="Times New Roman"/>
          <w:color w:val="333333"/>
          <w:sz w:val="28"/>
          <w:szCs w:val="28"/>
        </w:rPr>
        <w:t>2013 год – $13,6 млрд</w:t>
      </w:r>
    </w:p>
    <w:p w:rsidR="00587894" w:rsidRPr="00A15A3C" w:rsidRDefault="00587894" w:rsidP="005878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15A3C">
        <w:rPr>
          <w:rFonts w:ascii="Times New Roman" w:hAnsi="Times New Roman" w:cs="Times New Roman"/>
          <w:color w:val="333333"/>
          <w:sz w:val="28"/>
          <w:szCs w:val="28"/>
        </w:rPr>
        <w:t>2017 год – $9,6 млрд</w:t>
      </w:r>
    </w:p>
    <w:p w:rsidR="00587894" w:rsidRPr="00A15A3C" w:rsidRDefault="00587894" w:rsidP="005878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15A3C">
        <w:rPr>
          <w:rFonts w:ascii="Times New Roman" w:hAnsi="Times New Roman" w:cs="Times New Roman"/>
          <w:color w:val="333333"/>
          <w:sz w:val="28"/>
          <w:szCs w:val="28"/>
        </w:rPr>
        <w:t>2018 год – $10 млрд</w:t>
      </w:r>
    </w:p>
    <w:p w:rsidR="00587894" w:rsidRPr="00A15A3C" w:rsidRDefault="00587894" w:rsidP="00587894">
      <w:pPr>
        <w:pStyle w:val="2"/>
        <w:shd w:val="clear" w:color="auto" w:fill="FFFFFF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15A3C">
        <w:rPr>
          <w:rFonts w:ascii="Times New Roman" w:hAnsi="Times New Roman" w:cs="Times New Roman"/>
          <w:color w:val="333333"/>
          <w:sz w:val="28"/>
          <w:szCs w:val="28"/>
        </w:rPr>
        <w:lastRenderedPageBreak/>
        <w:t>Поделятся с областями</w:t>
      </w:r>
    </w:p>
    <w:p w:rsidR="00587894" w:rsidRPr="00A15A3C" w:rsidRDefault="00587894" w:rsidP="00587894">
      <w:pPr>
        <w:pStyle w:val="western"/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 w:rsidRPr="00A15A3C">
        <w:rPr>
          <w:color w:val="333333"/>
          <w:sz w:val="28"/>
          <w:szCs w:val="28"/>
        </w:rPr>
        <w:t>Примерно восьмую часть республиканского бюджета направят в виде дотаций в областные бюджеты страны. Уже который год без дотаций живет только Минск, столица не только существует за свои деньги, но и «делится» средствами с республиканским бюджетом.</w:t>
      </w:r>
    </w:p>
    <w:p w:rsidR="00587894" w:rsidRPr="00A15A3C" w:rsidRDefault="00587894" w:rsidP="00587894">
      <w:pPr>
        <w:pStyle w:val="western"/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 w:rsidRPr="00A15A3C">
        <w:rPr>
          <w:color w:val="333333"/>
          <w:sz w:val="28"/>
          <w:szCs w:val="28"/>
        </w:rPr>
        <w:t>По сравнению с 2017 годом размер дотаций областям вырастет, но не сильно – с $1,2 млрд до $1,3 млрд. При этом еще пять лет назад, в 2013 году, субвенций выделялось в 2,7 раза больше.</w:t>
      </w:r>
    </w:p>
    <w:p w:rsidR="00587894" w:rsidRPr="004036FD" w:rsidRDefault="00587894" w:rsidP="00587894">
      <w:pPr>
        <w:pStyle w:val="2"/>
        <w:shd w:val="clear" w:color="auto" w:fill="FFFFFF"/>
        <w:ind w:firstLine="708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4036FD">
        <w:rPr>
          <w:rFonts w:ascii="Times New Roman" w:hAnsi="Times New Roman" w:cs="Times New Roman"/>
          <w:b/>
          <w:color w:val="333333"/>
          <w:sz w:val="28"/>
          <w:szCs w:val="28"/>
        </w:rPr>
        <w:t>Дорожный фонд станет беднее</w:t>
      </w:r>
    </w:p>
    <w:p w:rsidR="00587894" w:rsidRPr="00A15A3C" w:rsidRDefault="00587894" w:rsidP="00587894">
      <w:pPr>
        <w:pStyle w:val="western"/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 w:rsidRPr="00A15A3C">
        <w:rPr>
          <w:color w:val="333333"/>
          <w:sz w:val="28"/>
          <w:szCs w:val="28"/>
        </w:rPr>
        <w:t>По сравнению с 2017 годом примерно в 2,5 раза уменьшатся поступления из республиканского бюджета в дорожный фонд. Кроме вливаний из республиканской казны он формируется также за счет так называемого транспортного налога, платы за проезд по платным дорогам и других платежей. В общей сложности бюджет-2018 года этого фонда в переводе на доллары составит $291 млн – на $28 млн меньше, чем в 2017.</w:t>
      </w:r>
    </w:p>
    <w:p w:rsidR="00587894" w:rsidRPr="004036FD" w:rsidRDefault="00587894" w:rsidP="00587894">
      <w:pPr>
        <w:pStyle w:val="2"/>
        <w:shd w:val="clear" w:color="auto" w:fill="FFFFFF"/>
        <w:ind w:firstLine="708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4036FD">
        <w:rPr>
          <w:rFonts w:ascii="Times New Roman" w:hAnsi="Times New Roman" w:cs="Times New Roman"/>
          <w:b/>
          <w:color w:val="333333"/>
          <w:sz w:val="28"/>
          <w:szCs w:val="28"/>
        </w:rPr>
        <w:t>Больше денег на местные дороги</w:t>
      </w:r>
    </w:p>
    <w:p w:rsidR="00587894" w:rsidRPr="00A15A3C" w:rsidRDefault="00587894" w:rsidP="00587894">
      <w:pPr>
        <w:pStyle w:val="western"/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Т</w:t>
      </w:r>
      <w:r w:rsidRPr="00A15A3C">
        <w:rPr>
          <w:color w:val="333333"/>
          <w:sz w:val="28"/>
          <w:szCs w:val="28"/>
        </w:rPr>
        <w:t>радиционно львиная доля денег из дорожного фонда уйдет на республиканские дороги, остальное передадут в виде субвенций областям на ремонт местных дорог. Возможно, благодаря усилиям депутатов, которые неоднократно поднимали тему распределения средств из дорожного фонда, в 2018 году на местные дороги будет выделено больше денег, чем в 2017-м. Например, Брестская область получит субвенций $11,7 млн в эквиваленте – на $0,8 млн больше, чем в 2017 году.</w:t>
      </w:r>
    </w:p>
    <w:p w:rsidR="00587894" w:rsidRPr="00A15A3C" w:rsidRDefault="00587894" w:rsidP="00587894">
      <w:pPr>
        <w:pStyle w:val="western"/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 w:rsidRPr="00A15A3C">
        <w:rPr>
          <w:color w:val="333333"/>
          <w:sz w:val="28"/>
          <w:szCs w:val="28"/>
        </w:rPr>
        <w:t>В текущем году на субвенции областям пойдет 24% дорожного фонда, в 2017-м – 20%.</w:t>
      </w:r>
    </w:p>
    <w:p w:rsidR="00587894" w:rsidRPr="004036FD" w:rsidRDefault="00587894" w:rsidP="00587894">
      <w:pPr>
        <w:pStyle w:val="2"/>
        <w:shd w:val="clear" w:color="auto" w:fill="FFFFFF"/>
        <w:ind w:firstLine="708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4036FD">
        <w:rPr>
          <w:rFonts w:ascii="Times New Roman" w:hAnsi="Times New Roman" w:cs="Times New Roman"/>
          <w:b/>
          <w:color w:val="333333"/>
          <w:sz w:val="28"/>
          <w:szCs w:val="28"/>
        </w:rPr>
        <w:t>Траты на оборону и госорганы увеличатся</w:t>
      </w:r>
    </w:p>
    <w:p w:rsidR="00587894" w:rsidRPr="00A15A3C" w:rsidRDefault="00587894" w:rsidP="00587894">
      <w:pPr>
        <w:pStyle w:val="western"/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 w:rsidRPr="00A15A3C">
        <w:rPr>
          <w:color w:val="333333"/>
          <w:sz w:val="28"/>
          <w:szCs w:val="28"/>
        </w:rPr>
        <w:t>По сравнению с 2017 годом увеличатся расходы республиканской казны на национальную оборону, судебную и правоохранительную систему, госорганы. В переводе на доллары немного уменьшатся траты по обслуживанию госдолга страны.</w:t>
      </w:r>
    </w:p>
    <w:p w:rsidR="00587894" w:rsidRPr="00A15A3C" w:rsidRDefault="00587894" w:rsidP="00587894">
      <w:pPr>
        <w:pStyle w:val="western"/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 w:rsidRPr="00A15A3C">
        <w:rPr>
          <w:color w:val="333333"/>
          <w:sz w:val="28"/>
          <w:szCs w:val="28"/>
        </w:rPr>
        <w:t>В 2018 году $9,5 млн в эквиваленте будет выделено на проведение выборов и референдумов. В 2014 году, когда в стране тоже проходили выборы в местные Советы депутатов, на эти цели было предусмотрено $10 млн в эквиваленте.</w:t>
      </w:r>
    </w:p>
    <w:p w:rsidR="00587894" w:rsidRDefault="00587894" w:rsidP="00587894">
      <w:pPr>
        <w:pStyle w:val="a7"/>
        <w:shd w:val="clear" w:color="auto" w:fill="FFFFFF"/>
        <w:spacing w:before="0" w:after="0"/>
        <w:rPr>
          <w:rFonts w:ascii="Arial" w:hAnsi="Arial" w:cs="Arial"/>
          <w:color w:val="333333"/>
          <w:sz w:val="15"/>
          <w:szCs w:val="15"/>
        </w:rPr>
      </w:pPr>
      <w:r>
        <w:rPr>
          <w:rFonts w:ascii="Arial" w:hAnsi="Arial" w:cs="Arial"/>
          <w:noProof/>
          <w:color w:val="5B9EBE"/>
          <w:sz w:val="15"/>
          <w:szCs w:val="15"/>
        </w:rPr>
        <w:lastRenderedPageBreak/>
        <w:drawing>
          <wp:inline distT="0" distB="0" distL="0" distR="0" wp14:anchorId="456F0C12" wp14:editId="502EF7D0">
            <wp:extent cx="5727700" cy="2814210"/>
            <wp:effectExtent l="0" t="0" r="0" b="0"/>
            <wp:docPr id="1" name="Рисунок 1" descr="https://www-cdn.intex-press.by/wp-content/uploads/2018/01/Snimok-ekrana-ot-2018-01-05-152816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-cdn.intex-press.by/wp-content/uploads/2018/01/Snimok-ekrana-ot-2018-01-05-152816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559" cy="2826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894" w:rsidRDefault="00587894" w:rsidP="00587894">
      <w:pPr>
        <w:pStyle w:val="5"/>
        <w:shd w:val="clear" w:color="auto" w:fill="FFFFFF"/>
        <w:rPr>
          <w:rFonts w:ascii="Arial" w:hAnsi="Arial" w:cs="Arial"/>
          <w:caps/>
          <w:color w:val="04557B"/>
          <w:sz w:val="20"/>
          <w:szCs w:val="20"/>
        </w:rPr>
      </w:pPr>
      <w:r>
        <w:rPr>
          <w:rFonts w:ascii="Arial" w:hAnsi="Arial" w:cs="Arial"/>
          <w:caps/>
          <w:color w:val="04557B"/>
        </w:rPr>
        <w:t>ЧИТАЙТЕ INTEX-PRESS.BY</w:t>
      </w:r>
    </w:p>
    <w:p w:rsidR="00587894" w:rsidRDefault="00587894" w:rsidP="009461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59FD" w:rsidRPr="000C799D" w:rsidRDefault="004559FD" w:rsidP="004559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8"/>
          <w:sz w:val="28"/>
          <w:szCs w:val="28"/>
        </w:rPr>
      </w:pPr>
      <w:r w:rsidRPr="000C799D">
        <w:rPr>
          <w:rFonts w:ascii="Times New Roman" w:eastAsia="Times New Roman" w:hAnsi="Times New Roman" w:cs="Times New Roman"/>
          <w:b/>
          <w:bCs/>
          <w:color w:val="1A1A18"/>
          <w:sz w:val="28"/>
          <w:szCs w:val="28"/>
        </w:rPr>
        <w:t>Оптимистичные доходы бюджета</w:t>
      </w:r>
    </w:p>
    <w:p w:rsidR="004559FD" w:rsidRPr="000C799D" w:rsidRDefault="004559FD" w:rsidP="0045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8"/>
          <w:sz w:val="28"/>
          <w:szCs w:val="28"/>
        </w:rPr>
      </w:pPr>
      <w:r w:rsidRPr="000C799D">
        <w:rPr>
          <w:rFonts w:ascii="Times New Roman" w:eastAsia="Times New Roman" w:hAnsi="Times New Roman" w:cs="Times New Roman"/>
          <w:color w:val="1A1A18"/>
          <w:sz w:val="28"/>
          <w:szCs w:val="28"/>
        </w:rPr>
        <w:t>Первое же ознакомление с доходной частью бюджета на 2018 год </w:t>
      </w:r>
      <w:r w:rsidRPr="000C799D">
        <w:rPr>
          <w:rFonts w:ascii="Times New Roman" w:eastAsia="Times New Roman" w:hAnsi="Times New Roman" w:cs="Times New Roman"/>
          <w:b/>
          <w:bCs/>
          <w:i/>
          <w:iCs/>
          <w:color w:val="1A1A18"/>
          <w:sz w:val="28"/>
          <w:szCs w:val="28"/>
        </w:rPr>
        <w:t>(</w:t>
      </w:r>
      <w:hyperlink r:id="rId10" w:tgtFrame="_blank" w:history="1">
        <w:r w:rsidRPr="000C799D">
          <w:rPr>
            <w:rFonts w:ascii="Times New Roman" w:eastAsia="Times New Roman" w:hAnsi="Times New Roman" w:cs="Times New Roman"/>
            <w:b/>
            <w:bCs/>
            <w:i/>
            <w:iCs/>
            <w:color w:val="1A1A18"/>
            <w:sz w:val="28"/>
            <w:szCs w:val="28"/>
            <w:u w:val="single"/>
          </w:rPr>
          <w:t>см. так</w:t>
        </w:r>
        <w:r w:rsidRPr="000C799D">
          <w:rPr>
            <w:rFonts w:ascii="Times New Roman" w:eastAsia="Times New Roman" w:hAnsi="Times New Roman" w:cs="Times New Roman"/>
            <w:b/>
            <w:bCs/>
            <w:i/>
            <w:iCs/>
            <w:color w:val="1A1A18"/>
            <w:sz w:val="28"/>
            <w:szCs w:val="28"/>
            <w:u w:val="single"/>
          </w:rPr>
          <w:softHyphen/>
          <w:t>же «ЭГ» № 3 от 12.01.2018 «Расходы догоняют доходы: изучаем бюджет на 2018 год»</w:t>
        </w:r>
      </w:hyperlink>
      <w:r w:rsidRPr="000C799D">
        <w:rPr>
          <w:rFonts w:ascii="Times New Roman" w:eastAsia="Times New Roman" w:hAnsi="Times New Roman" w:cs="Times New Roman"/>
          <w:b/>
          <w:bCs/>
          <w:i/>
          <w:iCs/>
          <w:color w:val="1A1A18"/>
          <w:sz w:val="28"/>
          <w:szCs w:val="28"/>
        </w:rPr>
        <w:t>)</w:t>
      </w:r>
      <w:r w:rsidRPr="000C799D">
        <w:rPr>
          <w:rFonts w:ascii="Times New Roman" w:eastAsia="Times New Roman" w:hAnsi="Times New Roman" w:cs="Times New Roman"/>
          <w:color w:val="1A1A18"/>
          <w:sz w:val="28"/>
          <w:szCs w:val="28"/>
        </w:rPr>
        <w:t> свидетельствует о его излишнем оптимизме. По сравнению с 2017 годом планируется прирост доходов на 12,3%, или на 2,25 млрд. BYN.</w:t>
      </w:r>
    </w:p>
    <w:p w:rsidR="004559FD" w:rsidRPr="000C799D" w:rsidRDefault="004559FD" w:rsidP="0045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8"/>
          <w:sz w:val="28"/>
          <w:szCs w:val="28"/>
        </w:rPr>
      </w:pPr>
      <w:r w:rsidRPr="000C799D">
        <w:rPr>
          <w:rFonts w:ascii="Times New Roman" w:eastAsia="Times New Roman" w:hAnsi="Times New Roman" w:cs="Times New Roman"/>
          <w:color w:val="1A1A18"/>
          <w:sz w:val="28"/>
          <w:szCs w:val="28"/>
        </w:rPr>
        <w:t>Основной прирост доходов предпола</w:t>
      </w:r>
      <w:r w:rsidRPr="000C799D">
        <w:rPr>
          <w:rFonts w:ascii="Times New Roman" w:eastAsia="Times New Roman" w:hAnsi="Times New Roman" w:cs="Times New Roman"/>
          <w:color w:val="1A1A18"/>
          <w:sz w:val="28"/>
          <w:szCs w:val="28"/>
        </w:rPr>
        <w:softHyphen/>
        <w:t>гается достичь за счет НДС (+1,09 млрд. BYN), безвозмездных поступлений от иностранных государств (+0,87 млрд. BYN), доходов от государственной соб</w:t>
      </w:r>
      <w:r w:rsidRPr="000C799D">
        <w:rPr>
          <w:rFonts w:ascii="Times New Roman" w:eastAsia="Times New Roman" w:hAnsi="Times New Roman" w:cs="Times New Roman"/>
          <w:color w:val="1A1A18"/>
          <w:sz w:val="28"/>
          <w:szCs w:val="28"/>
        </w:rPr>
        <w:softHyphen/>
        <w:t>ственности (+0,72 млрд. BYN), налогов от ВЭД (+0,41 млрд. BYN). По каждому из данных прогнозируемых приростов доходов есть существенные и экономически обоснованные сомнения.</w:t>
      </w:r>
    </w:p>
    <w:p w:rsidR="004559FD" w:rsidRPr="000C799D" w:rsidRDefault="004559FD" w:rsidP="0045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8"/>
          <w:sz w:val="28"/>
          <w:szCs w:val="28"/>
        </w:rPr>
      </w:pPr>
      <w:r w:rsidRPr="000C799D">
        <w:rPr>
          <w:rFonts w:ascii="Times New Roman" w:eastAsia="Times New Roman" w:hAnsi="Times New Roman" w:cs="Times New Roman"/>
          <w:b/>
          <w:bCs/>
          <w:color w:val="1A1A18"/>
          <w:sz w:val="28"/>
          <w:szCs w:val="28"/>
        </w:rPr>
        <w:t>Структура доходов бюджета, млн. BYN</w:t>
      </w:r>
    </w:p>
    <w:tbl>
      <w:tblPr>
        <w:tblW w:w="88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5"/>
        <w:gridCol w:w="1080"/>
        <w:gridCol w:w="1080"/>
        <w:gridCol w:w="1080"/>
      </w:tblGrid>
      <w:tr w:rsidR="004559FD" w:rsidRPr="000C799D" w:rsidTr="007D6DA6">
        <w:trPr>
          <w:trHeight w:val="300"/>
          <w:tblCellSpacing w:w="0" w:type="dxa"/>
        </w:trPr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Статьи доходов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2016 год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2017 год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2018 год</w:t>
            </w:r>
          </w:p>
        </w:tc>
      </w:tr>
      <w:tr w:rsidR="004559FD" w:rsidRPr="000C799D" w:rsidTr="007D6DA6">
        <w:trPr>
          <w:trHeight w:val="300"/>
          <w:tblCellSpacing w:w="0" w:type="dxa"/>
        </w:trPr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  Налог на прибыль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918,93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917,92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1196,15</w:t>
            </w:r>
          </w:p>
        </w:tc>
      </w:tr>
      <w:tr w:rsidR="004559FD" w:rsidRPr="000C799D" w:rsidTr="007D6DA6">
        <w:trPr>
          <w:trHeight w:val="300"/>
          <w:tblCellSpacing w:w="0" w:type="dxa"/>
        </w:trPr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  НДС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5828,08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6507,43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7596,74</w:t>
            </w:r>
          </w:p>
        </w:tc>
      </w:tr>
      <w:tr w:rsidR="004559FD" w:rsidRPr="000C799D" w:rsidTr="007D6DA6">
        <w:trPr>
          <w:trHeight w:val="300"/>
          <w:tblCellSpacing w:w="0" w:type="dxa"/>
        </w:trPr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  Акциз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2077,07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2268,54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2465,55</w:t>
            </w:r>
          </w:p>
        </w:tc>
      </w:tr>
      <w:tr w:rsidR="004559FD" w:rsidRPr="000C799D" w:rsidTr="007D6DA6">
        <w:trPr>
          <w:trHeight w:val="300"/>
          <w:tblCellSpacing w:w="0" w:type="dxa"/>
        </w:trPr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  Экологический налог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96,21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80,02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81,94</w:t>
            </w:r>
          </w:p>
        </w:tc>
      </w:tr>
      <w:tr w:rsidR="004559FD" w:rsidRPr="000C799D" w:rsidTr="007D6DA6">
        <w:trPr>
          <w:trHeight w:val="300"/>
          <w:tblCellSpacing w:w="0" w:type="dxa"/>
        </w:trPr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  Налог на добычу полезных ископаемых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503,89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389,82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377,13</w:t>
            </w:r>
          </w:p>
        </w:tc>
      </w:tr>
      <w:tr w:rsidR="004559FD" w:rsidRPr="000C799D" w:rsidTr="007D6DA6">
        <w:trPr>
          <w:trHeight w:val="300"/>
          <w:tblCellSpacing w:w="0" w:type="dxa"/>
        </w:trPr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  Налоги от ВЭД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4154,89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3160,85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3568,63</w:t>
            </w:r>
          </w:p>
        </w:tc>
      </w:tr>
      <w:tr w:rsidR="004559FD" w:rsidRPr="000C799D" w:rsidTr="007D6DA6">
        <w:trPr>
          <w:trHeight w:val="300"/>
          <w:tblCellSpacing w:w="0" w:type="dxa"/>
        </w:trPr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  Государственная пошлина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421,32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500,22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487,41</w:t>
            </w:r>
          </w:p>
        </w:tc>
      </w:tr>
      <w:tr w:rsidR="004559FD" w:rsidRPr="000C799D" w:rsidTr="007D6DA6">
        <w:trPr>
          <w:trHeight w:val="300"/>
          <w:tblCellSpacing w:w="0" w:type="dxa"/>
        </w:trPr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  Доходы от собственности (дивиденды, часть прибыли)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1106,37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825,27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1547,51</w:t>
            </w:r>
          </w:p>
        </w:tc>
      </w:tr>
      <w:tr w:rsidR="004559FD" w:rsidRPr="000C799D" w:rsidTr="007D6DA6">
        <w:trPr>
          <w:trHeight w:val="300"/>
          <w:tblCellSpacing w:w="0" w:type="dxa"/>
        </w:trPr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  Проценты за пользование бюджетными деньгами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398,15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305,66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254,12</w:t>
            </w:r>
          </w:p>
        </w:tc>
      </w:tr>
      <w:tr w:rsidR="004559FD" w:rsidRPr="000C799D" w:rsidTr="007D6DA6">
        <w:trPr>
          <w:trHeight w:val="300"/>
          <w:tblCellSpacing w:w="0" w:type="dxa"/>
        </w:trPr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  Доходы от госимущества (аренда, конфискация, продажа)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308,24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392,74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410,14</w:t>
            </w:r>
          </w:p>
        </w:tc>
      </w:tr>
      <w:tr w:rsidR="004559FD" w:rsidRPr="000C799D" w:rsidTr="007D6DA6">
        <w:trPr>
          <w:trHeight w:val="300"/>
          <w:tblCellSpacing w:w="0" w:type="dxa"/>
        </w:trPr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 Штрафы и удержания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120,31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136,80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133,82</w:t>
            </w:r>
          </w:p>
        </w:tc>
      </w:tr>
      <w:tr w:rsidR="004559FD" w:rsidRPr="000C799D" w:rsidTr="007D6DA6">
        <w:trPr>
          <w:trHeight w:val="300"/>
          <w:tblCellSpacing w:w="0" w:type="dxa"/>
        </w:trPr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  Безвозмездные поступления от иностранных государств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180,84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322,88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1192,62</w:t>
            </w:r>
          </w:p>
        </w:tc>
      </w:tr>
      <w:tr w:rsidR="004559FD" w:rsidRPr="000C799D" w:rsidTr="007D6DA6">
        <w:trPr>
          <w:trHeight w:val="300"/>
          <w:tblCellSpacing w:w="0" w:type="dxa"/>
        </w:trPr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  Безвозмездные поступления от других бюджетов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755,96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1231,63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705,91</w:t>
            </w:r>
          </w:p>
        </w:tc>
      </w:tr>
      <w:tr w:rsidR="004559FD" w:rsidRPr="000C799D" w:rsidTr="007D6DA6">
        <w:trPr>
          <w:trHeight w:val="300"/>
          <w:tblCellSpacing w:w="0" w:type="dxa"/>
        </w:trPr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  Прочие неналоговые доходы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1025,24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1023,11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464,00</w:t>
            </w:r>
          </w:p>
        </w:tc>
      </w:tr>
      <w:tr w:rsidR="004559FD" w:rsidRPr="000C799D" w:rsidTr="007D6DA6">
        <w:trPr>
          <w:trHeight w:val="300"/>
          <w:tblCellSpacing w:w="0" w:type="dxa"/>
        </w:trPr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  Прочие доходные источники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163,53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172,37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3,72</w:t>
            </w:r>
          </w:p>
        </w:tc>
      </w:tr>
      <w:tr w:rsidR="004559FD" w:rsidRPr="000C799D" w:rsidTr="007D6DA6">
        <w:trPr>
          <w:trHeight w:val="300"/>
          <w:tblCellSpacing w:w="0" w:type="dxa"/>
        </w:trPr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 ИТОГО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18059,02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18235,24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20485,38</w:t>
            </w:r>
          </w:p>
        </w:tc>
      </w:tr>
      <w:tr w:rsidR="004559FD" w:rsidRPr="000C799D" w:rsidTr="007D6DA6">
        <w:trPr>
          <w:trHeight w:val="300"/>
          <w:tblCellSpacing w:w="0" w:type="dxa"/>
        </w:trPr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4559FD" w:rsidRPr="000C799D" w:rsidRDefault="004559FD" w:rsidP="0045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8"/>
          <w:sz w:val="28"/>
          <w:szCs w:val="28"/>
        </w:rPr>
      </w:pPr>
      <w:r w:rsidRPr="000C799D">
        <w:rPr>
          <w:rFonts w:ascii="Times New Roman" w:eastAsia="Times New Roman" w:hAnsi="Times New Roman" w:cs="Times New Roman"/>
          <w:b/>
          <w:bCs/>
          <w:color w:val="1A1A18"/>
          <w:sz w:val="28"/>
          <w:szCs w:val="28"/>
        </w:rPr>
        <w:t>Структура расходов бюджета, млн. BYN</w:t>
      </w:r>
    </w:p>
    <w:tbl>
      <w:tblPr>
        <w:tblW w:w="89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0"/>
        <w:gridCol w:w="1080"/>
        <w:gridCol w:w="1080"/>
        <w:gridCol w:w="1080"/>
      </w:tblGrid>
      <w:tr w:rsidR="004559FD" w:rsidRPr="000C799D" w:rsidTr="007D6DA6">
        <w:trPr>
          <w:trHeight w:val="300"/>
          <w:tblCellSpacing w:w="0" w:type="dxa"/>
        </w:trPr>
        <w:tc>
          <w:tcPr>
            <w:tcW w:w="5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Статьи расходов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2016 год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2017 год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2018 год</w:t>
            </w:r>
          </w:p>
        </w:tc>
      </w:tr>
      <w:tr w:rsidR="004559FD" w:rsidRPr="000C799D" w:rsidTr="007D6DA6">
        <w:trPr>
          <w:trHeight w:val="300"/>
          <w:tblCellSpacing w:w="0" w:type="dxa"/>
        </w:trPr>
        <w:tc>
          <w:tcPr>
            <w:tcW w:w="5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  Государственные органы общего управления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522,47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530,74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605,60</w:t>
            </w:r>
          </w:p>
        </w:tc>
      </w:tr>
      <w:tr w:rsidR="004559FD" w:rsidRPr="000C799D" w:rsidTr="007D6DA6">
        <w:trPr>
          <w:trHeight w:val="300"/>
          <w:tblCellSpacing w:w="0" w:type="dxa"/>
        </w:trPr>
        <w:tc>
          <w:tcPr>
            <w:tcW w:w="5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  Международная деятельность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256,74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302,31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276,49</w:t>
            </w:r>
          </w:p>
        </w:tc>
      </w:tr>
      <w:tr w:rsidR="004559FD" w:rsidRPr="000C799D" w:rsidTr="007D6DA6">
        <w:trPr>
          <w:trHeight w:val="300"/>
          <w:tblCellSpacing w:w="0" w:type="dxa"/>
        </w:trPr>
        <w:tc>
          <w:tcPr>
            <w:tcW w:w="5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  Обслуживание государственного долга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2018,86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2496,29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2536,58</w:t>
            </w:r>
          </w:p>
        </w:tc>
      </w:tr>
      <w:tr w:rsidR="004559FD" w:rsidRPr="000C799D" w:rsidTr="007D6DA6">
        <w:trPr>
          <w:trHeight w:val="300"/>
          <w:tblCellSpacing w:w="0" w:type="dxa"/>
        </w:trPr>
        <w:tc>
          <w:tcPr>
            <w:tcW w:w="5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  Государственный материальный резерв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75,09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100,14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98,08</w:t>
            </w:r>
          </w:p>
        </w:tc>
      </w:tr>
      <w:tr w:rsidR="004559FD" w:rsidRPr="000C799D" w:rsidTr="007D6DA6">
        <w:trPr>
          <w:trHeight w:val="300"/>
          <w:tblCellSpacing w:w="0" w:type="dxa"/>
        </w:trPr>
        <w:tc>
          <w:tcPr>
            <w:tcW w:w="5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  Фундаментальные научные исследования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86,96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95,38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93,13</w:t>
            </w:r>
          </w:p>
        </w:tc>
      </w:tr>
      <w:tr w:rsidR="004559FD" w:rsidRPr="000C799D" w:rsidTr="007D6DA6">
        <w:trPr>
          <w:trHeight w:val="300"/>
          <w:tblCellSpacing w:w="0" w:type="dxa"/>
        </w:trPr>
        <w:tc>
          <w:tcPr>
            <w:tcW w:w="5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  Прикладные научные исследования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66,79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71,91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71,23</w:t>
            </w:r>
          </w:p>
        </w:tc>
      </w:tr>
      <w:tr w:rsidR="004559FD" w:rsidRPr="000C799D" w:rsidTr="007D6DA6">
        <w:trPr>
          <w:trHeight w:val="300"/>
          <w:tblCellSpacing w:w="0" w:type="dxa"/>
        </w:trPr>
        <w:tc>
          <w:tcPr>
            <w:tcW w:w="5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  Резервный фонд Президента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120,00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126,36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1201,10</w:t>
            </w:r>
          </w:p>
        </w:tc>
      </w:tr>
      <w:tr w:rsidR="004559FD" w:rsidRPr="000C799D" w:rsidTr="007D6DA6">
        <w:trPr>
          <w:trHeight w:val="300"/>
          <w:tblCellSpacing w:w="0" w:type="dxa"/>
        </w:trPr>
        <w:tc>
          <w:tcPr>
            <w:tcW w:w="5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  Другие госрасходы (бюджетные кредиты, инновационные     расходы)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117,36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-234,72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518,76</w:t>
            </w:r>
          </w:p>
        </w:tc>
      </w:tr>
      <w:tr w:rsidR="004559FD" w:rsidRPr="000C799D" w:rsidTr="007D6DA6">
        <w:trPr>
          <w:trHeight w:val="300"/>
          <w:tblCellSpacing w:w="0" w:type="dxa"/>
        </w:trPr>
        <w:tc>
          <w:tcPr>
            <w:tcW w:w="5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  Межбюджетные трансферты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3974,99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3809,59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4581,17</w:t>
            </w:r>
          </w:p>
        </w:tc>
      </w:tr>
      <w:tr w:rsidR="004559FD" w:rsidRPr="000C799D" w:rsidTr="007D6DA6">
        <w:trPr>
          <w:trHeight w:val="300"/>
          <w:tblCellSpacing w:w="0" w:type="dxa"/>
        </w:trPr>
        <w:tc>
          <w:tcPr>
            <w:tcW w:w="5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  Национальная оборона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906,92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924,45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1104,67</w:t>
            </w:r>
          </w:p>
        </w:tc>
      </w:tr>
      <w:tr w:rsidR="004559FD" w:rsidRPr="000C799D" w:rsidTr="007D6DA6">
        <w:trPr>
          <w:trHeight w:val="300"/>
          <w:tblCellSpacing w:w="0" w:type="dxa"/>
        </w:trPr>
        <w:tc>
          <w:tcPr>
            <w:tcW w:w="5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  Судебная власть и правоохранительная система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1745,13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1773,62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2120,80</w:t>
            </w:r>
          </w:p>
        </w:tc>
      </w:tr>
      <w:tr w:rsidR="004559FD" w:rsidRPr="000C799D" w:rsidTr="007D6DA6">
        <w:trPr>
          <w:trHeight w:val="300"/>
          <w:tblCellSpacing w:w="0" w:type="dxa"/>
        </w:trPr>
        <w:tc>
          <w:tcPr>
            <w:tcW w:w="5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  Национальная экономика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2691,27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2730,41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2473,76</w:t>
            </w:r>
          </w:p>
        </w:tc>
      </w:tr>
      <w:tr w:rsidR="004559FD" w:rsidRPr="000C799D" w:rsidTr="007D6DA6">
        <w:trPr>
          <w:trHeight w:val="300"/>
          <w:tblCellSpacing w:w="0" w:type="dxa"/>
        </w:trPr>
        <w:tc>
          <w:tcPr>
            <w:tcW w:w="5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  Охрана окружающей среды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76,09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75,22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80,98</w:t>
            </w:r>
          </w:p>
        </w:tc>
      </w:tr>
      <w:tr w:rsidR="004559FD" w:rsidRPr="000C799D" w:rsidTr="007D6DA6">
        <w:trPr>
          <w:trHeight w:val="300"/>
          <w:tblCellSpacing w:w="0" w:type="dxa"/>
        </w:trPr>
        <w:tc>
          <w:tcPr>
            <w:tcW w:w="5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  Здравоохранение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762,86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878,78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894,99</w:t>
            </w:r>
          </w:p>
        </w:tc>
      </w:tr>
      <w:tr w:rsidR="004559FD" w:rsidRPr="000C799D" w:rsidTr="007D6DA6">
        <w:trPr>
          <w:trHeight w:val="300"/>
          <w:tblCellSpacing w:w="0" w:type="dxa"/>
        </w:trPr>
        <w:tc>
          <w:tcPr>
            <w:tcW w:w="5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  Физкультура и СМИ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345,92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376,16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388,99</w:t>
            </w:r>
          </w:p>
        </w:tc>
      </w:tr>
      <w:tr w:rsidR="004559FD" w:rsidRPr="000C799D" w:rsidTr="007D6DA6">
        <w:trPr>
          <w:trHeight w:val="300"/>
          <w:tblCellSpacing w:w="0" w:type="dxa"/>
        </w:trPr>
        <w:tc>
          <w:tcPr>
            <w:tcW w:w="5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  Образование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828,97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808,06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877,41</w:t>
            </w:r>
          </w:p>
        </w:tc>
      </w:tr>
      <w:tr w:rsidR="004559FD" w:rsidRPr="000C799D" w:rsidTr="007D6DA6">
        <w:trPr>
          <w:trHeight w:val="300"/>
          <w:tblCellSpacing w:w="0" w:type="dxa"/>
        </w:trPr>
        <w:tc>
          <w:tcPr>
            <w:tcW w:w="5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  Социальная политика (пенсии, пособия)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1667,57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1825,44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1774,15</w:t>
            </w:r>
          </w:p>
        </w:tc>
      </w:tr>
      <w:tr w:rsidR="004559FD" w:rsidRPr="000C799D" w:rsidTr="007D6DA6">
        <w:trPr>
          <w:trHeight w:val="300"/>
          <w:tblCellSpacing w:w="0" w:type="dxa"/>
        </w:trPr>
        <w:tc>
          <w:tcPr>
            <w:tcW w:w="5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  Прочие расходы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77,80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48,96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sz w:val="28"/>
                <w:szCs w:val="28"/>
              </w:rPr>
              <w:t>53,62</w:t>
            </w:r>
          </w:p>
        </w:tc>
      </w:tr>
      <w:tr w:rsidR="004559FD" w:rsidRPr="000C799D" w:rsidTr="007D6DA6">
        <w:trPr>
          <w:trHeight w:val="300"/>
          <w:tblCellSpacing w:w="0" w:type="dxa"/>
        </w:trPr>
        <w:tc>
          <w:tcPr>
            <w:tcW w:w="5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 ИТОГО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16341,78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16739,09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559FD" w:rsidRPr="000C799D" w:rsidRDefault="004559FD" w:rsidP="007D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9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19751,50</w:t>
            </w:r>
          </w:p>
        </w:tc>
      </w:tr>
    </w:tbl>
    <w:p w:rsidR="00A15A3C" w:rsidRPr="00A15A3C" w:rsidRDefault="00A15A3C" w:rsidP="00855A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sectPr w:rsidR="00A15A3C" w:rsidRPr="00A15A3C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A1E" w:rsidRDefault="00866A1E">
      <w:pPr>
        <w:spacing w:after="0" w:line="240" w:lineRule="auto"/>
      </w:pPr>
      <w:r>
        <w:separator/>
      </w:r>
    </w:p>
  </w:endnote>
  <w:endnote w:type="continuationSeparator" w:id="0">
    <w:p w:rsidR="00866A1E" w:rsidRDefault="00866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A1E" w:rsidRDefault="00866A1E">
      <w:pPr>
        <w:spacing w:after="0" w:line="240" w:lineRule="auto"/>
      </w:pPr>
      <w:r>
        <w:separator/>
      </w:r>
    </w:p>
  </w:footnote>
  <w:footnote w:type="continuationSeparator" w:id="0">
    <w:p w:rsidR="00866A1E" w:rsidRDefault="00866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9929798"/>
      <w:docPartObj>
        <w:docPartGallery w:val="Page Numbers (Top of Page)"/>
        <w:docPartUnique/>
      </w:docPartObj>
    </w:sdtPr>
    <w:sdtEndPr/>
    <w:sdtContent>
      <w:p w:rsidR="00A64D48" w:rsidRDefault="004559F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66DA">
          <w:rPr>
            <w:noProof/>
          </w:rPr>
          <w:t>2</w:t>
        </w:r>
        <w:r>
          <w:fldChar w:fldCharType="end"/>
        </w:r>
      </w:p>
    </w:sdtContent>
  </w:sdt>
  <w:p w:rsidR="00A64D48" w:rsidRDefault="00866A1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6711FC"/>
    <w:multiLevelType w:val="multilevel"/>
    <w:tmpl w:val="3FD64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212B71"/>
    <w:multiLevelType w:val="hybridMultilevel"/>
    <w:tmpl w:val="8B408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504D5"/>
    <w:rsid w:val="000E6293"/>
    <w:rsid w:val="00221514"/>
    <w:rsid w:val="00293CFF"/>
    <w:rsid w:val="002F58B0"/>
    <w:rsid w:val="003466DA"/>
    <w:rsid w:val="003D2E3E"/>
    <w:rsid w:val="004036FD"/>
    <w:rsid w:val="004349A1"/>
    <w:rsid w:val="004559FD"/>
    <w:rsid w:val="00587894"/>
    <w:rsid w:val="00596FC6"/>
    <w:rsid w:val="00855A2B"/>
    <w:rsid w:val="00866A1E"/>
    <w:rsid w:val="008A5693"/>
    <w:rsid w:val="00946179"/>
    <w:rsid w:val="0096542B"/>
    <w:rsid w:val="009D07FD"/>
    <w:rsid w:val="00A15A3C"/>
    <w:rsid w:val="00CD278A"/>
    <w:rsid w:val="00E504D5"/>
    <w:rsid w:val="00E72B4D"/>
    <w:rsid w:val="00FF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04A229-39B2-44F6-BF58-BFF5B4D6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9A1"/>
  </w:style>
  <w:style w:type="paragraph" w:styleId="1">
    <w:name w:val="heading 1"/>
    <w:basedOn w:val="a"/>
    <w:link w:val="10"/>
    <w:uiPriority w:val="9"/>
    <w:qFormat/>
    <w:rsid w:val="004559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A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9FD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E3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D2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2E3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559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50">
    <w:name w:val="Заголовок 5 Знак"/>
    <w:basedOn w:val="a0"/>
    <w:link w:val="5"/>
    <w:uiPriority w:val="9"/>
    <w:semiHidden/>
    <w:rsid w:val="004559FD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styleId="a6">
    <w:name w:val="Hyperlink"/>
    <w:basedOn w:val="a0"/>
    <w:uiPriority w:val="99"/>
    <w:semiHidden/>
    <w:unhideWhenUsed/>
    <w:rsid w:val="004559FD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455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4559FD"/>
    <w:rPr>
      <w:b/>
      <w:bCs/>
    </w:rPr>
  </w:style>
  <w:style w:type="paragraph" w:styleId="a9">
    <w:name w:val="header"/>
    <w:basedOn w:val="a"/>
    <w:link w:val="aa"/>
    <w:uiPriority w:val="99"/>
    <w:unhideWhenUsed/>
    <w:rsid w:val="004559F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4559FD"/>
    <w:rPr>
      <w:rFonts w:eastAsiaTheme="minorHAnsi"/>
      <w:lang w:eastAsia="en-US"/>
    </w:rPr>
  </w:style>
  <w:style w:type="character" w:styleId="ab">
    <w:name w:val="Emphasis"/>
    <w:basedOn w:val="a0"/>
    <w:uiPriority w:val="20"/>
    <w:qFormat/>
    <w:rsid w:val="00A15A3C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A15A3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western">
    <w:name w:val="western"/>
    <w:basedOn w:val="a"/>
    <w:rsid w:val="00A15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7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6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4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-cdn.intex-press.by/wp-content/uploads/2018/01/Snimok-ekrana-ot-2018-01-05-152816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ravo.by/document/?guid=12551&amp;p0=H11700086&amp;p1=1&amp;p5=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neg.by/novosti/otkrytj/rashody-dogonyayut-dohody-izuchaem-byudzhet-na-2018-god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978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каф. бухучета контроля и финансов</dc:creator>
  <cp:keywords/>
  <dc:description/>
  <cp:lastModifiedBy>Lenovo</cp:lastModifiedBy>
  <cp:revision>15</cp:revision>
  <cp:lastPrinted>2017-07-05T10:41:00Z</cp:lastPrinted>
  <dcterms:created xsi:type="dcterms:W3CDTF">2017-07-05T08:54:00Z</dcterms:created>
  <dcterms:modified xsi:type="dcterms:W3CDTF">2018-09-30T14:26:00Z</dcterms:modified>
</cp:coreProperties>
</file>