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5B" w:rsidRDefault="00651243" w:rsidP="00A47168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597592">
        <w:rPr>
          <w:rFonts w:ascii="Tahoma" w:hAnsi="Tahoma" w:cs="Tahoma"/>
          <w:sz w:val="32"/>
          <w:szCs w:val="32"/>
        </w:rPr>
        <w:t>Инфляция 2017-2018</w:t>
      </w:r>
    </w:p>
    <w:p w:rsidR="008924ED" w:rsidRDefault="0082262B" w:rsidP="008924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8924ED">
        <w:rPr>
          <w:rFonts w:ascii="Tahoma" w:hAnsi="Tahoma" w:cs="Tahoma"/>
          <w:sz w:val="32"/>
          <w:szCs w:val="32"/>
        </w:rPr>
        <w:t>По данным </w:t>
      </w:r>
      <w:proofErr w:type="spellStart"/>
      <w:r w:rsidRPr="008924ED">
        <w:rPr>
          <w:rFonts w:ascii="Tahoma" w:hAnsi="Tahoma" w:cs="Tahoma"/>
          <w:sz w:val="32"/>
          <w:szCs w:val="32"/>
        </w:rPr>
        <w:fldChar w:fldCharType="begin"/>
      </w:r>
      <w:r w:rsidRPr="008924ED">
        <w:rPr>
          <w:rFonts w:ascii="Tahoma" w:hAnsi="Tahoma" w:cs="Tahoma"/>
          <w:sz w:val="32"/>
          <w:szCs w:val="32"/>
        </w:rPr>
        <w:instrText xml:space="preserve"> HYPERLINK "https://myfin.by/wiki/term/nacionalnyj-statisticheskij-komitet-respubliki-belarus-belstat" </w:instrText>
      </w:r>
      <w:r w:rsidRPr="008924ED">
        <w:rPr>
          <w:rFonts w:ascii="Tahoma" w:hAnsi="Tahoma" w:cs="Tahoma"/>
          <w:sz w:val="32"/>
          <w:szCs w:val="32"/>
        </w:rPr>
        <w:fldChar w:fldCharType="separate"/>
      </w:r>
      <w:r w:rsidRPr="008924ED">
        <w:rPr>
          <w:rStyle w:val="a3"/>
          <w:rFonts w:ascii="Tahoma" w:hAnsi="Tahoma" w:cs="Tahoma"/>
          <w:color w:val="auto"/>
          <w:sz w:val="32"/>
          <w:szCs w:val="32"/>
        </w:rPr>
        <w:t>Белстата</w:t>
      </w:r>
      <w:proofErr w:type="spellEnd"/>
      <w:r w:rsidRPr="008924ED">
        <w:rPr>
          <w:rFonts w:ascii="Tahoma" w:hAnsi="Tahoma" w:cs="Tahoma"/>
          <w:sz w:val="32"/>
          <w:szCs w:val="32"/>
        </w:rPr>
        <w:fldChar w:fldCharType="end"/>
      </w:r>
      <w:r w:rsidRPr="008924ED">
        <w:rPr>
          <w:rFonts w:ascii="Tahoma" w:hAnsi="Tahoma" w:cs="Tahoma"/>
          <w:sz w:val="32"/>
          <w:szCs w:val="32"/>
        </w:rPr>
        <w:t>, инфляция</w:t>
      </w:r>
      <w:r w:rsidR="008924ED">
        <w:rPr>
          <w:rFonts w:ascii="Tahoma" w:hAnsi="Tahoma" w:cs="Tahoma"/>
          <w:sz w:val="32"/>
          <w:szCs w:val="32"/>
        </w:rPr>
        <w:t>:</w:t>
      </w:r>
    </w:p>
    <w:p w:rsidR="008924ED" w:rsidRDefault="008924ED" w:rsidP="008924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82262B" w:rsidRPr="008924ED">
        <w:rPr>
          <w:rFonts w:ascii="Tahoma" w:hAnsi="Tahoma" w:cs="Tahoma"/>
          <w:sz w:val="32"/>
          <w:szCs w:val="32"/>
        </w:rPr>
        <w:t>2015</w:t>
      </w:r>
      <w:r>
        <w:rPr>
          <w:rFonts w:ascii="Tahoma" w:hAnsi="Tahoma" w:cs="Tahoma"/>
          <w:sz w:val="32"/>
          <w:szCs w:val="32"/>
        </w:rPr>
        <w:t xml:space="preserve"> -  12%;</w:t>
      </w:r>
    </w:p>
    <w:p w:rsidR="008924ED" w:rsidRDefault="0082262B" w:rsidP="008924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8924ED">
        <w:rPr>
          <w:rFonts w:ascii="Tahoma" w:hAnsi="Tahoma" w:cs="Tahoma"/>
          <w:sz w:val="32"/>
          <w:szCs w:val="32"/>
        </w:rPr>
        <w:t xml:space="preserve"> 2016 – 10,6%</w:t>
      </w:r>
      <w:r w:rsidR="008924ED">
        <w:rPr>
          <w:rFonts w:ascii="Tahoma" w:hAnsi="Tahoma" w:cs="Tahoma"/>
          <w:sz w:val="32"/>
          <w:szCs w:val="32"/>
        </w:rPr>
        <w:t>;</w:t>
      </w:r>
    </w:p>
    <w:p w:rsidR="008924ED" w:rsidRDefault="0082262B" w:rsidP="008924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8924ED">
        <w:rPr>
          <w:rFonts w:ascii="Tahoma" w:hAnsi="Tahoma" w:cs="Tahoma"/>
          <w:sz w:val="32"/>
          <w:szCs w:val="32"/>
        </w:rPr>
        <w:t xml:space="preserve"> 2017 – 4,</w:t>
      </w:r>
      <w:r w:rsidR="008924ED">
        <w:rPr>
          <w:rFonts w:ascii="Tahoma" w:hAnsi="Tahoma" w:cs="Tahoma"/>
          <w:sz w:val="32"/>
          <w:szCs w:val="32"/>
        </w:rPr>
        <w:t>6%;</w:t>
      </w:r>
    </w:p>
    <w:p w:rsidR="0082262B" w:rsidRPr="008924ED" w:rsidRDefault="0082262B" w:rsidP="008924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8924ED">
        <w:rPr>
          <w:rFonts w:ascii="Tahoma" w:hAnsi="Tahoma" w:cs="Tahoma"/>
          <w:sz w:val="32"/>
          <w:szCs w:val="32"/>
        </w:rPr>
        <w:t xml:space="preserve"> 2018 – 6% (прогноз)</w:t>
      </w:r>
    </w:p>
    <w:p w:rsidR="0082262B" w:rsidRPr="008924ED" w:rsidRDefault="008924ED" w:rsidP="008924ED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</w:t>
      </w:r>
      <w:r w:rsidR="0082262B" w:rsidRPr="008924ED">
        <w:rPr>
          <w:rFonts w:ascii="Tahoma" w:hAnsi="Tahoma" w:cs="Tahoma"/>
          <w:sz w:val="32"/>
          <w:szCs w:val="32"/>
        </w:rPr>
        <w:t>2020</w:t>
      </w:r>
      <w:r>
        <w:rPr>
          <w:rFonts w:ascii="Tahoma" w:hAnsi="Tahoma" w:cs="Tahoma"/>
          <w:sz w:val="32"/>
          <w:szCs w:val="32"/>
        </w:rPr>
        <w:t xml:space="preserve"> - </w:t>
      </w:r>
      <w:r w:rsidR="0082262B" w:rsidRPr="008924ED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5%</w:t>
      </w:r>
      <w:r w:rsidR="0082262B" w:rsidRPr="008924ED">
        <w:rPr>
          <w:rFonts w:ascii="Tahoma" w:hAnsi="Tahoma" w:cs="Tahoma"/>
          <w:sz w:val="32"/>
          <w:szCs w:val="32"/>
        </w:rPr>
        <w:t> </w:t>
      </w:r>
      <w:r>
        <w:rPr>
          <w:rFonts w:ascii="Tahoma" w:hAnsi="Tahoma" w:cs="Tahoma"/>
          <w:sz w:val="32"/>
          <w:szCs w:val="32"/>
        </w:rPr>
        <w:t>(прогноз).</w:t>
      </w:r>
    </w:p>
    <w:p w:rsidR="00597592" w:rsidRPr="00597592" w:rsidRDefault="0082262B" w:rsidP="0082262B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ahoma" w:hAnsi="Tahoma" w:cs="Tahoma"/>
          <w:sz w:val="28"/>
          <w:szCs w:val="28"/>
        </w:rPr>
      </w:pPr>
      <w:bookmarkStart w:id="0" w:name="top"/>
      <w:bookmarkEnd w:id="0"/>
      <w:r>
        <w:rPr>
          <w:rFonts w:ascii="Tahoma" w:hAnsi="Tahoma" w:cs="Tahoma"/>
          <w:sz w:val="28"/>
          <w:szCs w:val="28"/>
        </w:rPr>
        <w:t xml:space="preserve">По данным </w:t>
      </w:r>
      <w:proofErr w:type="spellStart"/>
      <w:r>
        <w:rPr>
          <w:rFonts w:ascii="Tahoma" w:hAnsi="Tahoma" w:cs="Tahoma"/>
          <w:sz w:val="28"/>
          <w:szCs w:val="28"/>
        </w:rPr>
        <w:t>Белстата</w:t>
      </w:r>
      <w:proofErr w:type="spellEnd"/>
      <w:r>
        <w:rPr>
          <w:rFonts w:ascii="Tahoma" w:hAnsi="Tahoma" w:cs="Tahoma"/>
          <w:sz w:val="28"/>
          <w:szCs w:val="28"/>
        </w:rPr>
        <w:t xml:space="preserve"> и</w:t>
      </w:r>
      <w:r w:rsidR="00597592" w:rsidRPr="00597592">
        <w:rPr>
          <w:rFonts w:ascii="Tahoma" w:hAnsi="Tahoma" w:cs="Tahoma"/>
          <w:sz w:val="28"/>
          <w:szCs w:val="28"/>
        </w:rPr>
        <w:t>ндекс потребительских цен на товары и услуги в декабре 2017 года по сравнению с дека</w:t>
      </w:r>
      <w:r w:rsidR="008924ED">
        <w:rPr>
          <w:rFonts w:ascii="Tahoma" w:hAnsi="Tahoma" w:cs="Tahoma"/>
          <w:sz w:val="28"/>
          <w:szCs w:val="28"/>
        </w:rPr>
        <w:t>брем 2016 года – 104,6 процента</w:t>
      </w:r>
      <w:r w:rsidR="00597592" w:rsidRPr="00597592">
        <w:rPr>
          <w:rFonts w:ascii="Tahoma" w:hAnsi="Tahoma" w:cs="Tahoma"/>
          <w:sz w:val="28"/>
          <w:szCs w:val="28"/>
        </w:rPr>
        <w:t>.</w:t>
      </w:r>
    </w:p>
    <w:p w:rsidR="00597592" w:rsidRDefault="00597592" w:rsidP="0082262B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ahoma" w:hAnsi="Tahoma" w:cs="Tahoma"/>
          <w:sz w:val="28"/>
          <w:szCs w:val="28"/>
        </w:rPr>
      </w:pPr>
      <w:r w:rsidRPr="00597592">
        <w:rPr>
          <w:rFonts w:ascii="Tahoma" w:hAnsi="Tahoma" w:cs="Tahoma"/>
          <w:sz w:val="28"/>
          <w:szCs w:val="28"/>
        </w:rPr>
        <w:t>Президент Беларуси Александр Лукашенко подписал Указ "Об утверждении Основных направлений денежно-кредитной политики Республики Беларусь на 2018 год</w:t>
      </w:r>
      <w:r w:rsidR="0082262B">
        <w:rPr>
          <w:rFonts w:ascii="Tahoma" w:hAnsi="Tahoma" w:cs="Tahoma"/>
          <w:sz w:val="28"/>
          <w:szCs w:val="28"/>
        </w:rPr>
        <w:t>»</w:t>
      </w:r>
    </w:p>
    <w:p w:rsidR="00A47168" w:rsidRPr="00597592" w:rsidRDefault="00A47168" w:rsidP="0082262B">
      <w:pPr>
        <w:shd w:val="clear" w:color="auto" w:fill="FFFFFF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 w:rsidRPr="00597592">
        <w:rPr>
          <w:rFonts w:ascii="Tahoma" w:hAnsi="Tahoma" w:cs="Tahoma"/>
          <w:sz w:val="28"/>
          <w:szCs w:val="28"/>
        </w:rPr>
        <w:t>Согласно документу, который был подписан главой государства 31 декабря, по итогам 2018 года рост цен в стране не должен превысить 6%. За этот же период прирост средней широкой денежной массы не должен превысить 9-12%, к декабрю 2017 года. Также по итогам года международные резервные активы Беларуси, рассчитываемые по методологии Международного валютного фонда, должны составить не менее 6 млрд долларов. </w:t>
      </w:r>
      <w:hyperlink r:id="rId6" w:tooltip="В 2018 году инфляция в Беларуси не должна превысить 6 процентов" w:history="1">
        <w:r w:rsidRPr="00597592">
          <w:rPr>
            <w:rStyle w:val="a3"/>
            <w:rFonts w:ascii="Tahoma" w:hAnsi="Tahoma" w:cs="Tahoma"/>
            <w:color w:val="auto"/>
            <w:sz w:val="28"/>
            <w:szCs w:val="28"/>
          </w:rPr>
          <w:t>подробнее</w:t>
        </w:r>
      </w:hyperlink>
    </w:p>
    <w:p w:rsidR="00597592" w:rsidRPr="00597592" w:rsidRDefault="00597592" w:rsidP="008924ED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ahoma" w:hAnsi="Tahoma" w:cs="Tahoma"/>
          <w:sz w:val="28"/>
          <w:szCs w:val="28"/>
        </w:rPr>
      </w:pPr>
      <w:r w:rsidRPr="008924ED">
        <w:rPr>
          <w:rFonts w:ascii="Tahoma" w:hAnsi="Tahoma" w:cs="Tahoma"/>
          <w:sz w:val="28"/>
          <w:szCs w:val="28"/>
        </w:rPr>
        <w:t>Национальный банк Беларуси начинает ежеквартальную публикацию материалов по и</w:t>
      </w:r>
      <w:r w:rsidR="008924ED">
        <w:rPr>
          <w:rFonts w:ascii="Tahoma" w:hAnsi="Tahoma" w:cs="Tahoma"/>
          <w:sz w:val="28"/>
          <w:szCs w:val="28"/>
        </w:rPr>
        <w:t>нфляционным ожиданиям населения.</w:t>
      </w:r>
      <w:r w:rsidRPr="008924ED">
        <w:rPr>
          <w:rFonts w:ascii="Tahoma" w:hAnsi="Tahoma" w:cs="Tahoma"/>
          <w:sz w:val="28"/>
          <w:szCs w:val="28"/>
        </w:rPr>
        <w:t xml:space="preserve"> </w:t>
      </w:r>
    </w:p>
    <w:p w:rsidR="00597592" w:rsidRPr="00597592" w:rsidRDefault="00597592" w:rsidP="00A47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8"/>
          <w:szCs w:val="28"/>
        </w:rPr>
      </w:pPr>
    </w:p>
    <w:p w:rsidR="00597592" w:rsidRPr="00597592" w:rsidRDefault="00597592" w:rsidP="00A47168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597592">
        <w:rPr>
          <w:rStyle w:val="a5"/>
          <w:rFonts w:ascii="Tahoma" w:hAnsi="Tahoma" w:cs="Tahoma"/>
          <w:sz w:val="28"/>
          <w:szCs w:val="28"/>
        </w:rPr>
        <w:t>Инфляция</w:t>
      </w:r>
      <w:r w:rsidRPr="00597592">
        <w:rPr>
          <w:rFonts w:ascii="Tahoma" w:hAnsi="Tahoma" w:cs="Tahoma"/>
          <w:sz w:val="28"/>
          <w:szCs w:val="28"/>
        </w:rPr>
        <w:t> – процесс обесценивания денег, приводящий к повышению цен на большинство категорий продукции, не обусловленному улучшением ее качества. Инфляция является следствием избыточности массы денег, обращающихся в процессе функционирования </w:t>
      </w:r>
      <w:hyperlink r:id="rId7" w:history="1">
        <w:r w:rsidRPr="00597592">
          <w:rPr>
            <w:rStyle w:val="a3"/>
            <w:rFonts w:ascii="Tahoma" w:hAnsi="Tahoma" w:cs="Tahoma"/>
            <w:color w:val="auto"/>
            <w:sz w:val="28"/>
            <w:szCs w:val="28"/>
          </w:rPr>
          <w:t>экономики</w:t>
        </w:r>
      </w:hyperlink>
      <w:r w:rsidRPr="00597592">
        <w:rPr>
          <w:rFonts w:ascii="Tahoma" w:hAnsi="Tahoma" w:cs="Tahoma"/>
          <w:sz w:val="28"/>
          <w:szCs w:val="28"/>
        </w:rPr>
        <w:t>, в сравнении с фактическим объемом реализуемых товаров.</w:t>
      </w:r>
    </w:p>
    <w:p w:rsidR="00597592" w:rsidRPr="00597592" w:rsidRDefault="00597592" w:rsidP="00B719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28"/>
          <w:szCs w:val="28"/>
        </w:rPr>
      </w:pPr>
      <w:r w:rsidRPr="00597592">
        <w:rPr>
          <w:rFonts w:ascii="Tahoma" w:hAnsi="Tahoma" w:cs="Tahoma"/>
          <w:sz w:val="28"/>
          <w:szCs w:val="28"/>
        </w:rPr>
        <w:t>Механизмы возникновения и развития инфляции могут быть различными. Административная инфляция возникает вследствие установления уровня цен государственными структурами без учета реальной экономической ситуации в стране. Инфляция издержек может быть вызвана удорожанием ресурсов и других составляющих процессов производства и оказания услуг, что приводит к повышению цен. Существует понятие импортируемой инфляции, являющейся следствием роста импортных цен.</w:t>
      </w:r>
    </w:p>
    <w:p w:rsidR="00597592" w:rsidRPr="00B719E8" w:rsidRDefault="00597592" w:rsidP="00B719E8">
      <w:pPr>
        <w:pStyle w:val="a4"/>
        <w:shd w:val="clear" w:color="auto" w:fill="FFFFFF"/>
        <w:spacing w:before="0" w:beforeAutospacing="0" w:after="168" w:afterAutospacing="0"/>
        <w:ind w:firstLine="708"/>
        <w:jc w:val="both"/>
        <w:rPr>
          <w:rFonts w:ascii="Tahoma" w:hAnsi="Tahoma" w:cs="Tahoma"/>
          <w:color w:val="FF0000"/>
        </w:rPr>
      </w:pPr>
      <w:r w:rsidRPr="00B719E8">
        <w:rPr>
          <w:rFonts w:ascii="Tahoma" w:hAnsi="Tahoma" w:cs="Tahoma"/>
        </w:rPr>
        <w:t>Показателем, характеризующим уровень инфляции, является </w:t>
      </w:r>
      <w:hyperlink r:id="rId8" w:history="1">
        <w:r w:rsidRPr="00B719E8">
          <w:rPr>
            <w:rStyle w:val="a3"/>
            <w:rFonts w:ascii="Tahoma" w:hAnsi="Tahoma" w:cs="Tahoma"/>
            <w:color w:val="auto"/>
          </w:rPr>
          <w:t>индекс потребительских цен</w:t>
        </w:r>
      </w:hyperlink>
      <w:r w:rsidRPr="00B719E8">
        <w:rPr>
          <w:rFonts w:ascii="Tahoma" w:hAnsi="Tahoma" w:cs="Tahoma"/>
        </w:rPr>
        <w:t>. При расчете учитывается варьирование в базисном периоде времени затрат на приобретение определенных товаров и услуг, формирующих так называемую </w:t>
      </w:r>
      <w:hyperlink r:id="rId9" w:history="1">
        <w:r w:rsidRPr="00B719E8">
          <w:rPr>
            <w:rStyle w:val="a3"/>
            <w:rFonts w:ascii="Tahoma" w:hAnsi="Tahoma" w:cs="Tahoma"/>
            <w:color w:val="auto"/>
          </w:rPr>
          <w:t>потребительскую корзину</w:t>
        </w:r>
      </w:hyperlink>
      <w:r w:rsidRPr="00B719E8">
        <w:rPr>
          <w:rFonts w:ascii="Tahoma" w:hAnsi="Tahoma" w:cs="Tahoma"/>
        </w:rPr>
        <w:t xml:space="preserve"> благ. В ее состав включаются важнейшие статьи расходов: продукты питания, жилье, одежда, транспортные издержки, расходы на медицинские и образовательные услуги. </w:t>
      </w:r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177"/>
        <w:gridCol w:w="1176"/>
        <w:gridCol w:w="1176"/>
        <w:gridCol w:w="1176"/>
        <w:gridCol w:w="1176"/>
        <w:gridCol w:w="1176"/>
        <w:gridCol w:w="1014"/>
      </w:tblGrid>
      <w:tr w:rsidR="00597592" w:rsidRPr="00597592" w:rsidTr="00C75731">
        <w:trPr>
          <w:trHeight w:val="315"/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vAlign w:val="center"/>
            <w:hideMark/>
          </w:tcPr>
          <w:p w:rsidR="00597592" w:rsidRPr="00597592" w:rsidRDefault="00597592" w:rsidP="00C75731">
            <w:pPr>
              <w:spacing w:after="150"/>
              <w:ind w:left="225"/>
              <w:rPr>
                <w:rFonts w:ascii="Tahoma" w:hAnsi="Tahoma" w:cs="Tahoma"/>
                <w:caps/>
                <w:spacing w:val="45"/>
                <w:sz w:val="28"/>
                <w:szCs w:val="28"/>
              </w:rPr>
            </w:pPr>
            <w:bookmarkStart w:id="1" w:name="_GoBack" w:colFirst="0" w:colLast="0"/>
            <w:r w:rsidRPr="00597592">
              <w:rPr>
                <w:rFonts w:ascii="Tahoma" w:hAnsi="Tahoma" w:cs="Tahoma"/>
                <w:caps/>
                <w:spacing w:val="45"/>
                <w:sz w:val="28"/>
                <w:szCs w:val="28"/>
              </w:rPr>
              <w:lastRenderedPageBreak/>
              <w:t>ИНФЛЯЦИЯ В БЕЛАРУСИ ПО МЕСЯЦАМ 2011-2017 ГГ. (ИНДЕКС ИНФЛЯЦИИ В %)</w:t>
            </w:r>
          </w:p>
        </w:tc>
      </w:tr>
      <w:tr w:rsidR="00597592" w:rsidRPr="00597592" w:rsidTr="00C75731">
        <w:trPr>
          <w:trHeight w:val="315"/>
          <w:tblHeader/>
        </w:trPr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spacing w:after="15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Style w:val="a5"/>
                <w:rFonts w:ascii="Tahoma" w:hAnsi="Tahoma" w:cs="Tahoma"/>
                <w:sz w:val="28"/>
                <w:szCs w:val="28"/>
              </w:rPr>
              <w:t>2011 г.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Style w:val="a5"/>
                <w:rFonts w:ascii="Tahoma" w:hAnsi="Tahoma" w:cs="Tahoma"/>
                <w:sz w:val="28"/>
                <w:szCs w:val="28"/>
              </w:rPr>
              <w:t>2012 г.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Style w:val="a5"/>
                <w:rFonts w:ascii="Tahoma" w:hAnsi="Tahoma" w:cs="Tahoma"/>
                <w:sz w:val="28"/>
                <w:szCs w:val="28"/>
              </w:rPr>
              <w:t>2013 г.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Style w:val="a5"/>
                <w:rFonts w:ascii="Tahoma" w:hAnsi="Tahoma" w:cs="Tahoma"/>
                <w:sz w:val="28"/>
                <w:szCs w:val="28"/>
              </w:rPr>
              <w:t>2014 г.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Style w:val="a5"/>
                <w:rFonts w:ascii="Tahoma" w:hAnsi="Tahoma" w:cs="Tahoma"/>
                <w:sz w:val="28"/>
                <w:szCs w:val="28"/>
              </w:rPr>
              <w:t>2015 г.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Style w:val="a5"/>
                <w:rFonts w:ascii="Tahoma" w:hAnsi="Tahoma" w:cs="Tahoma"/>
                <w:sz w:val="28"/>
                <w:szCs w:val="28"/>
              </w:rPr>
              <w:t>2016 г.</w:t>
            </w:r>
          </w:p>
        </w:tc>
        <w:tc>
          <w:tcPr>
            <w:tcW w:w="0" w:type="auto"/>
            <w:shd w:val="clear" w:color="auto" w:fill="auto"/>
            <w:noWrap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2017г.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0,9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0,5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март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0,3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4,5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май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13,1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0,3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июнь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июль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3,5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-0,1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-0,1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-0,8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13,6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0,3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1,2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0,5</w:t>
            </w:r>
          </w:p>
        </w:tc>
      </w:tr>
      <w:tr w:rsidR="00597592" w:rsidRPr="00597592" w:rsidTr="00C75731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2,4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pStyle w:val="a4"/>
              <w:spacing w:before="0" w:beforeAutospacing="0" w:after="168" w:afterAutospacing="0"/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597592" w:rsidRPr="00597592" w:rsidRDefault="00597592" w:rsidP="00C75731">
            <w:pPr>
              <w:rPr>
                <w:rFonts w:ascii="Tahoma" w:hAnsi="Tahoma" w:cs="Tahoma"/>
                <w:sz w:val="28"/>
                <w:szCs w:val="28"/>
              </w:rPr>
            </w:pPr>
            <w:r w:rsidRPr="00597592">
              <w:rPr>
                <w:rFonts w:ascii="Tahoma" w:hAnsi="Tahoma" w:cs="Tahoma"/>
                <w:sz w:val="28"/>
                <w:szCs w:val="28"/>
              </w:rPr>
              <w:t>0,2</w:t>
            </w:r>
          </w:p>
        </w:tc>
      </w:tr>
    </w:tbl>
    <w:bookmarkEnd w:id="1"/>
    <w:p w:rsidR="00597592" w:rsidRPr="00597592" w:rsidRDefault="00597592" w:rsidP="00597592">
      <w:pPr>
        <w:pStyle w:val="a4"/>
        <w:shd w:val="clear" w:color="auto" w:fill="FFFFFF"/>
        <w:spacing w:before="0" w:beforeAutospacing="0" w:after="168" w:afterAutospacing="0"/>
        <w:rPr>
          <w:rFonts w:ascii="Tahoma" w:hAnsi="Tahoma" w:cs="Tahoma"/>
          <w:sz w:val="28"/>
          <w:szCs w:val="28"/>
        </w:rPr>
      </w:pPr>
      <w:r w:rsidRPr="00597592">
        <w:rPr>
          <w:rFonts w:ascii="Tahoma" w:hAnsi="Tahoma" w:cs="Tahoma"/>
          <w:sz w:val="28"/>
          <w:szCs w:val="28"/>
        </w:rPr>
        <w:t> </w:t>
      </w:r>
    </w:p>
    <w:p w:rsidR="00597592" w:rsidRPr="00597592" w:rsidRDefault="00597592" w:rsidP="00E042B6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ahoma" w:hAnsi="Tahoma" w:cs="Tahoma"/>
          <w:sz w:val="28"/>
          <w:szCs w:val="28"/>
        </w:rPr>
      </w:pPr>
      <w:r w:rsidRPr="00597592">
        <w:rPr>
          <w:rFonts w:ascii="Tahoma" w:hAnsi="Tahoma" w:cs="Tahoma"/>
          <w:sz w:val="28"/>
          <w:szCs w:val="28"/>
        </w:rPr>
        <w:lastRenderedPageBreak/>
        <w:t xml:space="preserve">Спустя год после деноминации, когда белорусский рубль потерял четыре нуля, </w:t>
      </w:r>
      <w:r w:rsidR="00E042B6">
        <w:rPr>
          <w:rFonts w:ascii="Tahoma" w:hAnsi="Tahoma" w:cs="Tahoma"/>
          <w:sz w:val="28"/>
          <w:szCs w:val="28"/>
        </w:rPr>
        <w:t>п</w:t>
      </w:r>
      <w:r w:rsidRPr="00597592">
        <w:rPr>
          <w:rFonts w:ascii="Tahoma" w:hAnsi="Tahoma" w:cs="Tahoma"/>
          <w:sz w:val="28"/>
          <w:szCs w:val="28"/>
        </w:rPr>
        <w:t>о расчетам tut.by, средний чек с наиболее популярными покупками, такими как питьевая вода, картофель, гречка, бананы и туалетная бумага, за это время вырос на 8-11% в зависимости от магазина.</w:t>
      </w:r>
    </w:p>
    <w:p w:rsidR="00597592" w:rsidRPr="00597592" w:rsidRDefault="008924ED" w:rsidP="00120299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Комментарий: </w:t>
      </w:r>
      <w:r w:rsidR="007475F0">
        <w:rPr>
          <w:rFonts w:ascii="Tahoma" w:hAnsi="Tahoma" w:cs="Tahoma"/>
          <w:sz w:val="28"/>
          <w:szCs w:val="28"/>
        </w:rPr>
        <w:t xml:space="preserve">в </w:t>
      </w:r>
      <w:r w:rsidR="00597592" w:rsidRPr="00597592">
        <w:rPr>
          <w:rFonts w:ascii="Tahoma" w:hAnsi="Tahoma" w:cs="Tahoma"/>
          <w:sz w:val="28"/>
          <w:szCs w:val="28"/>
        </w:rPr>
        <w:t>мировой практике – это быстрый рост цен. Нормальной считается инфля</w:t>
      </w:r>
      <w:r w:rsidR="007475F0">
        <w:rPr>
          <w:rFonts w:ascii="Tahoma" w:hAnsi="Tahoma" w:cs="Tahoma"/>
          <w:sz w:val="28"/>
          <w:szCs w:val="28"/>
        </w:rPr>
        <w:t>ция в пределах 1-2% и не больше,</w:t>
      </w:r>
      <w:r w:rsidR="00597592" w:rsidRPr="00597592">
        <w:rPr>
          <w:rFonts w:ascii="Tahoma" w:hAnsi="Tahoma" w:cs="Tahoma"/>
          <w:sz w:val="28"/>
          <w:szCs w:val="28"/>
        </w:rPr>
        <w:t xml:space="preserve"> 11% за год, то это много.</w:t>
      </w:r>
    </w:p>
    <w:p w:rsidR="00E042B6" w:rsidRPr="00E042B6" w:rsidRDefault="00E042B6" w:rsidP="0012029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В октябре этого года к аналогичному периоду прошлого года больше всего в Беларуси подорожали платные услуги — на 9,7%. Продовольственные товары стали дороже на 5,5%, а непродовольственные — на 2,2%.</w:t>
      </w:r>
    </w:p>
    <w:p w:rsidR="00E042B6" w:rsidRPr="00E042B6" w:rsidRDefault="00E042B6" w:rsidP="0012029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По годовой инфляции Беларусь обогнала все страны еврозоны, где цены заметнее всего выросли в Литве (4,2%), Эстонии (4%), Великобритании (3%), Чехии (2,8%), Латвии (2,7%), Австрии (2,3%) и Венгрии (2,2%).</w:t>
      </w:r>
    </w:p>
    <w:p w:rsidR="00E042B6" w:rsidRPr="00E042B6" w:rsidRDefault="00E042B6" w:rsidP="00120299">
      <w:pPr>
        <w:spacing w:after="0" w:line="240" w:lineRule="auto"/>
        <w:ind w:firstLine="708"/>
        <w:rPr>
          <w:rFonts w:ascii="Tahoma" w:eastAsia="Times New Roman" w:hAnsi="Tahoma" w:cs="Tahoma"/>
          <w:sz w:val="28"/>
          <w:szCs w:val="28"/>
          <w:lang w:eastAsia="ru-RU"/>
        </w:rPr>
      </w:pPr>
      <w:r w:rsidRPr="00E042B6">
        <w:rPr>
          <w:rFonts w:ascii="Tahoma" w:eastAsia="Times New Roman" w:hAnsi="Tahoma" w:cs="Tahoma"/>
          <w:sz w:val="28"/>
          <w:szCs w:val="28"/>
          <w:lang w:eastAsia="ru-RU"/>
        </w:rPr>
        <w:t xml:space="preserve">Инфляция в странах еврозоны в октябре 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2017г </w:t>
      </w:r>
      <w:r w:rsidRPr="00E042B6">
        <w:rPr>
          <w:rFonts w:ascii="Tahoma" w:eastAsia="Times New Roman" w:hAnsi="Tahoma" w:cs="Tahoma"/>
          <w:sz w:val="28"/>
          <w:szCs w:val="28"/>
          <w:lang w:eastAsia="ru-RU"/>
        </w:rPr>
        <w:t>к</w:t>
      </w:r>
      <w:r>
        <w:rPr>
          <w:rFonts w:ascii="Tahoma" w:eastAsia="Times New Roman" w:hAnsi="Tahoma" w:cs="Tahoma"/>
          <w:sz w:val="28"/>
          <w:szCs w:val="28"/>
          <w:lang w:eastAsia="ru-RU"/>
        </w:rPr>
        <w:t> аналогичному периоду 2016 года:</w:t>
      </w:r>
      <w:r w:rsidRPr="00E042B6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</w:p>
    <w:p w:rsidR="00E042B6" w:rsidRPr="00E042B6" w:rsidRDefault="00E042B6" w:rsidP="0012029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- н</w:t>
      </w:r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иже всего этот показатель в еврозоне на Кипре (0,4%), а также в Греции, Финляндии, Ирландии (по 0,5%), </w:t>
      </w:r>
      <w:hyperlink r:id="rId10" w:tgtFrame="_blank" w:history="1">
        <w:r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сообщает</w:t>
        </w:r>
      </w:hyperlink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</w:t>
      </w:r>
      <w:proofErr w:type="spellStart"/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Евростат</w:t>
      </w:r>
      <w:proofErr w:type="spellEnd"/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.</w:t>
      </w:r>
    </w:p>
    <w:p w:rsidR="00E042B6" w:rsidRPr="00E042B6" w:rsidRDefault="00E042B6" w:rsidP="001202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Для сравнения: в Германии годовая инфляция составила 1,5%, в Италии — 1,1%, во Франции — 1,2%, а в Польше — 1,6%. В целом по еврозоне этот показатель составил 1,4%, а во всех странах ЕС — 1,7%.</w:t>
      </w:r>
    </w:p>
    <w:p w:rsidR="00E042B6" w:rsidRPr="00E042B6" w:rsidRDefault="00120299" w:rsidP="0012029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- </w:t>
      </w:r>
      <w:r w:rsid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в</w:t>
      </w:r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России в годовом исчислении инфляция в октябре </w:t>
      </w:r>
      <w:hyperlink r:id="rId11" w:tgtFrame="_blank" w:history="1">
        <w:r w:rsidR="00E042B6"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составила</w:t>
        </w:r>
      </w:hyperlink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2,7%, </w:t>
      </w:r>
      <w:hyperlink r:id="rId12" w:tgtFrame="_blank" w:history="1">
        <w:r w:rsidR="00E042B6"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в Украине</w:t>
        </w:r>
      </w:hyperlink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— 14,6%.</w:t>
      </w:r>
    </w:p>
    <w:p w:rsidR="00E042B6" w:rsidRPr="00E042B6" w:rsidRDefault="002A16D6" w:rsidP="001202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hyperlink r:id="rId13" w:tgtFrame="_blank" w:history="1">
        <w:r w:rsidR="00E042B6"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В Канаде</w:t>
        </w:r>
      </w:hyperlink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— 1,4%, </w:t>
      </w:r>
      <w:hyperlink r:id="rId14" w:tgtFrame="_blank" w:history="1">
        <w:r w:rsidR="00E042B6"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в США</w:t>
        </w:r>
      </w:hyperlink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— 2%, а </w:t>
      </w:r>
      <w:hyperlink r:id="rId15" w:tgtFrame="_blank" w:history="1">
        <w:r w:rsidR="00E042B6"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в Индии</w:t>
        </w:r>
      </w:hyperlink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— 3,6</w:t>
      </w:r>
      <w:proofErr w:type="gramStart"/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%.</w:t>
      </w:r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  <w:t>Читать</w:t>
      </w:r>
      <w:proofErr w:type="gramEnd"/>
      <w:r w:rsidR="00E042B6" w:rsidRPr="00E042B6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полностью:  </w:t>
      </w:r>
      <w:hyperlink r:id="rId16" w:history="1">
        <w:r w:rsidR="00E042B6" w:rsidRPr="00E042B6">
          <w:rPr>
            <w:rFonts w:ascii="Tahoma" w:eastAsia="Times New Roman" w:hAnsi="Tahoma" w:cs="Tahoma"/>
            <w:color w:val="192C8F"/>
            <w:sz w:val="28"/>
            <w:szCs w:val="28"/>
            <w:bdr w:val="none" w:sz="0" w:space="0" w:color="auto" w:frame="1"/>
            <w:lang w:eastAsia="ru-RU"/>
          </w:rPr>
          <w:t>https://finance.tut.by/news569487.html</w:t>
        </w:r>
      </w:hyperlink>
    </w:p>
    <w:p w:rsidR="00597592" w:rsidRPr="00597592" w:rsidRDefault="00597592" w:rsidP="00120299">
      <w:pPr>
        <w:spacing w:after="0" w:line="240" w:lineRule="auto"/>
        <w:rPr>
          <w:rFonts w:ascii="Tahoma" w:hAnsi="Tahoma" w:cs="Tahoma"/>
          <w:sz w:val="28"/>
          <w:szCs w:val="28"/>
        </w:rPr>
      </w:pPr>
    </w:p>
    <w:sectPr w:rsidR="00597592" w:rsidRPr="0059759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D6" w:rsidRDefault="002A16D6" w:rsidP="00B719E8">
      <w:pPr>
        <w:spacing w:after="0" w:line="240" w:lineRule="auto"/>
      </w:pPr>
      <w:r>
        <w:separator/>
      </w:r>
    </w:p>
  </w:endnote>
  <w:endnote w:type="continuationSeparator" w:id="0">
    <w:p w:rsidR="002A16D6" w:rsidRDefault="002A16D6" w:rsidP="00B7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337012"/>
      <w:docPartObj>
        <w:docPartGallery w:val="Page Numbers (Bottom of Page)"/>
        <w:docPartUnique/>
      </w:docPartObj>
    </w:sdtPr>
    <w:sdtContent>
      <w:p w:rsidR="00B719E8" w:rsidRDefault="00B719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719E8" w:rsidRDefault="00B719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D6" w:rsidRDefault="002A16D6" w:rsidP="00B719E8">
      <w:pPr>
        <w:spacing w:after="0" w:line="240" w:lineRule="auto"/>
      </w:pPr>
      <w:r>
        <w:separator/>
      </w:r>
    </w:p>
  </w:footnote>
  <w:footnote w:type="continuationSeparator" w:id="0">
    <w:p w:rsidR="002A16D6" w:rsidRDefault="002A16D6" w:rsidP="00B7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43"/>
    <w:rsid w:val="00120299"/>
    <w:rsid w:val="002A16D6"/>
    <w:rsid w:val="00497B5B"/>
    <w:rsid w:val="00597592"/>
    <w:rsid w:val="00651243"/>
    <w:rsid w:val="007475F0"/>
    <w:rsid w:val="0082262B"/>
    <w:rsid w:val="008924ED"/>
    <w:rsid w:val="00A47168"/>
    <w:rsid w:val="00B719E8"/>
    <w:rsid w:val="00E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93B4-2F93-46CA-897B-3905B982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5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592"/>
    <w:rPr>
      <w:b/>
      <w:bCs/>
    </w:rPr>
  </w:style>
  <w:style w:type="paragraph" w:customStyle="1" w:styleId="h2">
    <w:name w:val="h2"/>
    <w:basedOn w:val="a"/>
    <w:rsid w:val="0059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75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ad">
    <w:name w:val="lead"/>
    <w:basedOn w:val="a"/>
    <w:rsid w:val="0059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9E8"/>
  </w:style>
  <w:style w:type="paragraph" w:styleId="a8">
    <w:name w:val="footer"/>
    <w:basedOn w:val="a"/>
    <w:link w:val="a9"/>
    <w:uiPriority w:val="99"/>
    <w:unhideWhenUsed/>
    <w:rsid w:val="00B7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n.by/wiki/term/indeks-potrebitelskih-cen" TargetMode="External"/><Relationship Id="rId13" Type="http://schemas.openxmlformats.org/officeDocument/2006/relationships/hyperlink" Target="http://www.rosbalt.ru/business/2017/11/17/1661768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fin.by/wiki/term/ekonomika" TargetMode="External"/><Relationship Id="rId12" Type="http://schemas.openxmlformats.org/officeDocument/2006/relationships/hyperlink" Target="https://zn.ua/ECONOMICS/inflyaciya-v-ukraine-v-oktyabre-zamedlilas-do-1-2-265544_.htm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finance.tut.by/news56948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yby.com/news/295450/" TargetMode="External"/><Relationship Id="rId11" Type="http://schemas.openxmlformats.org/officeDocument/2006/relationships/hyperlink" Target="http://www.rosbalt.ru/business/2017/11/07/1658916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osbalt.ru/business/2017/11/13/1660430.html" TargetMode="External"/><Relationship Id="rId10" Type="http://schemas.openxmlformats.org/officeDocument/2006/relationships/hyperlink" Target="http://ec.europa.eu/eurostat/documents/2995521/8456366/2-16112017-AP-EN.pdf/f8123350-5adf-4d76-a829-19bd0fe0535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yfin.by/wiki/term/potrebitelskaya-korzina-v-belarusi" TargetMode="External"/><Relationship Id="rId14" Type="http://schemas.openxmlformats.org/officeDocument/2006/relationships/hyperlink" Target="http://www.rosbalt.ru/business/2017/11/15/16610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2018-01-13T18:53:00Z</dcterms:created>
  <dcterms:modified xsi:type="dcterms:W3CDTF">2018-01-14T13:14:00Z</dcterms:modified>
</cp:coreProperties>
</file>